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0B0B3" w14:textId="7499BA4B" w:rsidR="00B145E3" w:rsidRPr="00FA27F5" w:rsidRDefault="00FA27F5" w:rsidP="00FA27F5">
      <w:pPr>
        <w:jc w:val="right"/>
        <w:rPr>
          <w:rFonts w:ascii="Trebuchet MS" w:hAnsi="Trebuchet MS"/>
        </w:rPr>
      </w:pPr>
      <w:r w:rsidRPr="00FA27F5">
        <w:rPr>
          <w:rFonts w:ascii="Trebuchet MS" w:hAnsi="Trebuchet MS"/>
        </w:rPr>
        <w:t xml:space="preserve">Anexa </w:t>
      </w:r>
      <w:r w:rsidR="00F57F52">
        <w:rPr>
          <w:rFonts w:ascii="Trebuchet MS" w:hAnsi="Trebuchet MS"/>
        </w:rPr>
        <w:t>3</w:t>
      </w:r>
    </w:p>
    <w:p w14:paraId="4AC777C7" w14:textId="77777777" w:rsidR="00FA27F5" w:rsidRPr="00FA27F5" w:rsidRDefault="00FA27F5" w:rsidP="00FA27F5">
      <w:pPr>
        <w:jc w:val="center"/>
        <w:rPr>
          <w:rFonts w:ascii="Trebuchet MS" w:hAnsi="Trebuchet MS"/>
          <w:b/>
        </w:rPr>
      </w:pPr>
      <w:r w:rsidRPr="00FA27F5">
        <w:rPr>
          <w:rFonts w:ascii="Trebuchet MS" w:hAnsi="Trebuchet MS"/>
          <w:b/>
        </w:rPr>
        <w:t>Legislația europeană aplicabilă persoanelor cu dizabilități</w:t>
      </w:r>
    </w:p>
    <w:p w14:paraId="614AE256" w14:textId="77777777" w:rsidR="00FA27F5" w:rsidRDefault="00FA27F5"/>
    <w:p w14:paraId="22358AEB" w14:textId="0CB6CEEE" w:rsidR="004C779A" w:rsidRPr="004C779A" w:rsidRDefault="004C779A" w:rsidP="004C779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4C779A">
        <w:rPr>
          <w:rFonts w:ascii="Trebuchet MS" w:hAnsi="Trebuchet MS" w:cs="Segoe UI"/>
          <w:shd w:val="clear" w:color="auto" w:fill="FFFFFF"/>
        </w:rPr>
        <w:t>Tratatul de Funcționare a Uniunii Europene care, în mod desoebit prin art.10 și 19 (1),  creează cadrul pentru combaterea discriminării “pe motive de sex, rasă sau origine etnică, religie sau convingeri, handicap</w:t>
      </w:r>
      <w:r>
        <w:rPr>
          <w:rFonts w:ascii="Trebuchet MS" w:hAnsi="Trebuchet MS" w:cs="Segoe UI"/>
          <w:shd w:val="clear" w:color="auto" w:fill="FFFFFF"/>
        </w:rPr>
        <w:t>, vârstă sau orientare sexuală”;</w:t>
      </w:r>
    </w:p>
    <w:p w14:paraId="7B1F2DD0" w14:textId="5C2D32BD" w:rsidR="004C779A" w:rsidRPr="004C779A" w:rsidRDefault="004C779A" w:rsidP="004C779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4C779A">
        <w:rPr>
          <w:rFonts w:ascii="Trebuchet MS" w:hAnsi="Trebuchet MS" w:cs="Segoe UI"/>
          <w:shd w:val="clear" w:color="auto" w:fill="FFFFFF"/>
        </w:rPr>
        <w:t>Carta drepturilor fundamentale a Uniunii Europene care include dizabilitatea, vârsta și orientarea sexuală printre motivele pe baza cărora este interzisă discriminarea și consfințește dreptul persoanelor cu dizabilitate la integrare socială (art. 26): „Uniunea recunoaşte şi respectă dreptul persoanelor cu dizabilități de a beneficia de măsuri care să le asigure autonomia, integrarea socială şi profesională, precum şi participarea la viaţa comunităţii.”</w:t>
      </w:r>
      <w:r>
        <w:rPr>
          <w:rFonts w:ascii="Trebuchet MS" w:hAnsi="Trebuchet MS" w:cs="Segoe UI"/>
          <w:shd w:val="clear" w:color="auto" w:fill="FFFFFF"/>
        </w:rPr>
        <w:t>;</w:t>
      </w:r>
    </w:p>
    <w:p w14:paraId="762D7999" w14:textId="2053E610" w:rsidR="004C779A" w:rsidRPr="004C779A" w:rsidRDefault="004C779A" w:rsidP="004C779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4C779A">
        <w:rPr>
          <w:rFonts w:ascii="Trebuchet MS" w:hAnsi="Trebuchet MS" w:cs="Segoe UI"/>
          <w:shd w:val="clear" w:color="auto" w:fill="FFFFFF"/>
        </w:rPr>
        <w:t>Carta Socială Europeană Revizuită, adoptată la Strasbourg la 3 mai 1996, ratificată d</w:t>
      </w:r>
      <w:r>
        <w:rPr>
          <w:rFonts w:ascii="Trebuchet MS" w:hAnsi="Trebuchet MS" w:cs="Segoe UI"/>
          <w:shd w:val="clear" w:color="auto" w:fill="FFFFFF"/>
        </w:rPr>
        <w:t>e România prin Legea nr.74/1999;</w:t>
      </w:r>
    </w:p>
    <w:p w14:paraId="22224CDE" w14:textId="77777777" w:rsidR="006868E2" w:rsidRDefault="006868E2" w:rsidP="006868E2">
      <w:pPr>
        <w:numPr>
          <w:ilvl w:val="0"/>
          <w:numId w:val="1"/>
        </w:numPr>
        <w:spacing w:after="120" w:line="276" w:lineRule="auto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>Pilonul European</w:t>
      </w:r>
      <w:r w:rsidRPr="00692B98">
        <w:rPr>
          <w:rFonts w:ascii="Trebuchet MS" w:hAnsi="Trebuchet MS"/>
        </w:rPr>
        <w:t xml:space="preserve"> al Drepturilor Sociale</w:t>
      </w:r>
      <w:r>
        <w:rPr>
          <w:rFonts w:ascii="Trebuchet MS" w:hAnsi="Trebuchet MS"/>
        </w:rPr>
        <w:t>;</w:t>
      </w:r>
    </w:p>
    <w:p w14:paraId="280E4254" w14:textId="77777777" w:rsidR="006868E2" w:rsidRPr="006868E2" w:rsidRDefault="006868E2" w:rsidP="006868E2">
      <w:pPr>
        <w:pStyle w:val="ListParagraph"/>
        <w:numPr>
          <w:ilvl w:val="0"/>
          <w:numId w:val="1"/>
        </w:numPr>
        <w:spacing w:before="120" w:after="120" w:line="276" w:lineRule="auto"/>
        <w:ind w:left="360"/>
        <w:jc w:val="both"/>
        <w:rPr>
          <w:rFonts w:ascii="Trebuchet MS" w:hAnsi="Trebuchet MS"/>
        </w:rPr>
      </w:pPr>
      <w:r w:rsidRPr="006868E2">
        <w:rPr>
          <w:rFonts w:ascii="Trebuchet MS" w:hAnsi="Trebuchet MS"/>
        </w:rPr>
        <w:t xml:space="preserve">Agenda pentru dezvoltare durabilă 2030 care promovează respectarea universală a drepturilor omului, egalității și nediscriminării și este  angajată în capacitarea statelor membre de a accelera procesul egalizării de șanse astfel încât „nimeni să nu rămână în urmă”. </w:t>
      </w:r>
    </w:p>
    <w:p w14:paraId="5E40D074" w14:textId="77777777" w:rsidR="00106989" w:rsidRPr="00106989" w:rsidRDefault="00106989" w:rsidP="006868E2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 w:rsidRPr="00692B98">
        <w:rPr>
          <w:rFonts w:ascii="Trebuchet MS" w:hAnsi="Trebuchet MS" w:cs="Segoe UI"/>
          <w:shd w:val="clear" w:color="auto" w:fill="FFFFFF"/>
        </w:rPr>
        <w:t>Directiva (UE) 2019/882</w:t>
      </w:r>
      <w:r>
        <w:rPr>
          <w:rFonts w:ascii="Trebuchet MS" w:hAnsi="Trebuchet MS" w:cs="Segoe UI"/>
          <w:shd w:val="clear" w:color="auto" w:fill="FFFFFF"/>
        </w:rPr>
        <w:t>/CE</w:t>
      </w:r>
      <w:r w:rsidRPr="00692B98">
        <w:rPr>
          <w:rFonts w:ascii="Trebuchet MS" w:hAnsi="Trebuchet MS" w:cs="Segoe UI"/>
          <w:shd w:val="clear" w:color="auto" w:fill="FFFFFF"/>
        </w:rPr>
        <w:t xml:space="preserve"> a Parlamentului European și a Consiliului din 17 aprilie 2019 privind cerințele de accesibilitate aplic</w:t>
      </w:r>
      <w:r>
        <w:rPr>
          <w:rFonts w:ascii="Trebuchet MS" w:hAnsi="Trebuchet MS" w:cs="Segoe UI"/>
          <w:shd w:val="clear" w:color="auto" w:fill="FFFFFF"/>
        </w:rPr>
        <w:t>abile produselor și serviciilor;</w:t>
      </w:r>
      <w:r w:rsidRPr="00106989">
        <w:rPr>
          <w:rFonts w:ascii="Trebuchet MS" w:hAnsi="Trebuchet MS" w:cs="Segoe UI"/>
          <w:shd w:val="clear" w:color="auto" w:fill="FFFFFF"/>
        </w:rPr>
        <w:t xml:space="preserve"> </w:t>
      </w:r>
    </w:p>
    <w:p w14:paraId="39B8D88A" w14:textId="7789CB01" w:rsidR="00106989" w:rsidRPr="00692B98" w:rsidRDefault="00106989" w:rsidP="00106989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 w:rsidRPr="00692B98">
        <w:rPr>
          <w:rFonts w:ascii="Trebuchet MS" w:hAnsi="Trebuchet MS" w:cs="Segoe UI"/>
          <w:shd w:val="clear" w:color="auto" w:fill="FFFFFF"/>
        </w:rPr>
        <w:t>Directiva (UE) 2016/2102</w:t>
      </w:r>
      <w:r>
        <w:rPr>
          <w:rFonts w:ascii="Trebuchet MS" w:hAnsi="Trebuchet MS" w:cs="Segoe UI"/>
          <w:shd w:val="clear" w:color="auto" w:fill="FFFFFF"/>
        </w:rPr>
        <w:t>/CE</w:t>
      </w:r>
      <w:r w:rsidRPr="00692B98">
        <w:rPr>
          <w:rFonts w:ascii="Trebuchet MS" w:hAnsi="Trebuchet MS" w:cs="Segoe UI"/>
          <w:shd w:val="clear" w:color="auto" w:fill="FFFFFF"/>
        </w:rPr>
        <w:t xml:space="preserve"> a Parlamentului European și a Consiliului din 26 octombrie 2016 privind accesibilitatea site-urilor web și a aplicațiilor mobile ale organismelor din sectorul public</w:t>
      </w:r>
      <w:r>
        <w:rPr>
          <w:rFonts w:ascii="Trebuchet MS" w:hAnsi="Trebuchet MS" w:cs="Segoe UI"/>
          <w:shd w:val="clear" w:color="auto" w:fill="FFFFFF"/>
        </w:rPr>
        <w:t>;</w:t>
      </w:r>
    </w:p>
    <w:p w14:paraId="6F1A4434" w14:textId="5A8245D8" w:rsidR="00A1353D" w:rsidRDefault="005A0FC0" w:rsidP="00A1353D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Directiva Consiliului 2000/78/CE</w:t>
      </w:r>
      <w:r w:rsidR="00A1353D" w:rsidRPr="00A1353D">
        <w:rPr>
          <w:rFonts w:ascii="Trebuchet MS" w:hAnsi="Trebuchet MS" w:cs="Times New Roman"/>
        </w:rPr>
        <w:t xml:space="preserve"> de creare a unui cadru general în favoarea egalităţii de tratament în ceea ce priveşte încadrarea în muncă şi ocuparea forţei de muncă, transpusă prin Ordonanţa Guvernului nr. 137/2000 privind prevenirea şi sancţionarea tuturor formelor de discriminare, republicată;</w:t>
      </w:r>
      <w:r w:rsidR="00A1353D">
        <w:rPr>
          <w:rFonts w:ascii="Trebuchet MS" w:hAnsi="Trebuchet MS" w:cs="Times New Roman"/>
        </w:rPr>
        <w:t xml:space="preserve"> </w:t>
      </w:r>
    </w:p>
    <w:p w14:paraId="32C35DBF" w14:textId="135E7123" w:rsidR="00FA27F5" w:rsidRPr="00692B98" w:rsidRDefault="005A0FC0" w:rsidP="00FA27F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Directiva Consiliului 2000/43/CE</w:t>
      </w:r>
      <w:r w:rsidR="00FA27F5" w:rsidRPr="00692B98">
        <w:rPr>
          <w:rFonts w:ascii="Trebuchet MS" w:hAnsi="Trebuchet MS" w:cs="Times New Roman"/>
        </w:rPr>
        <w:t xml:space="preserve"> privind aplicarea principiului egalităţii de tratament între persoane, fără deosebire de origine rasială sau etnică, publicată în Jurnalul Oficial al Comunităţilor Europene (JOCE) nr. L180 din 19 iulie 2000;</w:t>
      </w:r>
    </w:p>
    <w:p w14:paraId="0BF041DB" w14:textId="77777777" w:rsidR="00FA27F5" w:rsidRPr="00692B98" w:rsidRDefault="00FA27F5" w:rsidP="00FA27F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 w:rsidRPr="00692B98">
        <w:rPr>
          <w:rFonts w:ascii="Trebuchet MS" w:hAnsi="Trebuchet MS" w:cs="Times New Roman"/>
        </w:rPr>
        <w:t>Recomandarea Rec(2011)14 a Comitetului Miniştrilor către statele membre privind participarea persoanelor cu dizabilităţi la viaţa politică şi publică;</w:t>
      </w:r>
    </w:p>
    <w:p w14:paraId="1B1B1D64" w14:textId="77777777" w:rsidR="00FA27F5" w:rsidRPr="00692B98" w:rsidRDefault="00FA27F5" w:rsidP="00FA27F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 w:rsidRPr="00974A2D">
        <w:rPr>
          <w:rFonts w:ascii="Trebuchet MS" w:hAnsi="Trebuchet MS" w:cs="Times New Roman"/>
        </w:rPr>
        <w:t>Decizia</w:t>
      </w:r>
      <w:r>
        <w:rPr>
          <w:rFonts w:ascii="Trebuchet MS" w:hAnsi="Trebuchet MS" w:cs="Times New Roman"/>
        </w:rPr>
        <w:t xml:space="preserve"> COM(2014)</w:t>
      </w:r>
      <w:r w:rsidRPr="00692B98">
        <w:rPr>
          <w:rFonts w:ascii="Trebuchet MS" w:hAnsi="Trebuchet MS" w:cs="Times New Roman"/>
        </w:rPr>
        <w:t xml:space="preserve">638 </w:t>
      </w:r>
      <w:r>
        <w:rPr>
          <w:rFonts w:ascii="Trebuchet MS" w:hAnsi="Trebuchet MS" w:cs="Times New Roman"/>
        </w:rPr>
        <w:t xml:space="preserve">final </w:t>
      </w:r>
      <w:r w:rsidRPr="00692B98">
        <w:rPr>
          <w:rFonts w:ascii="Trebuchet MS" w:hAnsi="Trebuchet MS" w:cs="Times New Roman"/>
        </w:rPr>
        <w:t>privind încheierea Tratatului de la Marrakesh pentru facilitarea accesului la operele publicate al persoanelor nevăzătoare, cu deficienţe de vedere sau cu dificultăţi de citire a materialelor imprimate;</w:t>
      </w:r>
    </w:p>
    <w:p w14:paraId="090D2F7F" w14:textId="59E3E3BE" w:rsidR="005A0FC0" w:rsidRPr="00A1353D" w:rsidRDefault="005A0FC0" w:rsidP="005A0FC0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Directiva (UE) 2001/85/CE privind dispozițiile speciale aplicabile vehiculelor destinate transportului de persoane cu mai mult de opt scaune în plus față de al conducătorului;</w:t>
      </w:r>
    </w:p>
    <w:p w14:paraId="33196008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lastRenderedPageBreak/>
        <w:t>Recomandarea Rec(2011)14 a Comitetului Miniştrilor către statele membre privind participarea persoanelor cu dizabilităţi la viaţa politică şi publică;</w:t>
      </w:r>
    </w:p>
    <w:p w14:paraId="6F85EA0C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t>Rezoluţia Consiliului Uniunii Europene nr.2003/C175/01 referitoare la promovarea angajării în muncă şi integrarea socială a persoanelor cu handicap, 15 iulie 2003;</w:t>
      </w:r>
    </w:p>
    <w:p w14:paraId="7F70B1B6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t>Rezoluţia Consiliului Uniunii Europene nr.2003/C134/04 referitoare la accesibilitatea infrastructurii aşezămintelor culturale şi la activităţile culturale pentru persoanele cu handicap, 5 mai 2003;</w:t>
      </w:r>
    </w:p>
    <w:p w14:paraId="215E8DED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t>Rezoluţia Consiliului European nr.2003/C39/03 referitoare la eAccesibilitatea - în vederea îmbunătăţirii accesului persoanelor cu handicap în societatea bazată pe cunoaştere;</w:t>
      </w:r>
    </w:p>
    <w:p w14:paraId="43778BD9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t>Regulamentul (CE) nr.1107/2006 al Parlamentului European si al Consiliului din 5 iulie 2006 privind drepturile persoanelor cu handicap și ale persoanelor cu mobilitate redusă pe durata călătoriei pe calea aerului;</w:t>
      </w:r>
    </w:p>
    <w:p w14:paraId="5C3CDA00" w14:textId="77777777" w:rsidR="00FA27F5" w:rsidRPr="008C62A6" w:rsidRDefault="00FA27F5" w:rsidP="00FA27F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R</w:t>
      </w:r>
      <w:r w:rsidRPr="008C62A6">
        <w:rPr>
          <w:rFonts w:ascii="Trebuchet MS" w:hAnsi="Trebuchet MS"/>
          <w:sz w:val="22"/>
          <w:szCs w:val="22"/>
        </w:rPr>
        <w:t>ecomandarea Consiliului European nr.98/376/EC referitoare la instituirea cardului de parcare pentru persoanele cu handicap, 4 iunie 1998;</w:t>
      </w:r>
    </w:p>
    <w:p w14:paraId="2584077F" w14:textId="77777777" w:rsidR="00FA27F5" w:rsidRPr="008C62A6" w:rsidRDefault="00FA27F5" w:rsidP="00827428">
      <w:pPr>
        <w:pStyle w:val="NormalWeb"/>
        <w:numPr>
          <w:ilvl w:val="0"/>
          <w:numId w:val="5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="Trebuchet MS" w:hAnsi="Trebuchet MS"/>
          <w:sz w:val="22"/>
          <w:szCs w:val="22"/>
        </w:rPr>
      </w:pPr>
      <w:r w:rsidRPr="008C62A6">
        <w:rPr>
          <w:rFonts w:ascii="Trebuchet MS" w:hAnsi="Trebuchet MS"/>
          <w:sz w:val="22"/>
          <w:szCs w:val="22"/>
        </w:rPr>
        <w:t>Avizul Comitetului Economic și Social European privind propunerea de directivă a Parlamentului European și a Consiliului de apropiere a actelor cu putere de lege și a actelor administrative ale statelor membre în ceea ce privește cerințele de accesibilitate aplicabile produselor și serviciilor (12 mai 2016);</w:t>
      </w:r>
    </w:p>
    <w:p w14:paraId="0ECD8C9C" w14:textId="77777777" w:rsidR="00E87BCC" w:rsidRPr="0070438E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Tratatul privind Uniunea European</w:t>
      </w:r>
      <w:r>
        <w:rPr>
          <w:rFonts w:ascii="Trebuchet MS" w:eastAsia="Times New Roman" w:hAnsi="Trebuchet MS" w:cs="Times New Roman"/>
          <w:lang w:eastAsia="ro-RO"/>
        </w:rPr>
        <w:t>ă;</w:t>
      </w:r>
    </w:p>
    <w:p w14:paraId="7E97F397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Tratatul privind func</w:t>
      </w:r>
      <w:r>
        <w:rPr>
          <w:rFonts w:ascii="Trebuchet MS" w:eastAsia="Times New Roman" w:hAnsi="Trebuchet MS" w:cs="Times New Roman"/>
          <w:lang w:eastAsia="ro-RO"/>
        </w:rPr>
        <w:t>ț</w:t>
      </w:r>
      <w:r w:rsidRPr="0070438E">
        <w:rPr>
          <w:rFonts w:ascii="Trebuchet MS" w:eastAsia="Times New Roman" w:hAnsi="Trebuchet MS" w:cs="Times New Roman"/>
          <w:lang w:eastAsia="ro-RO"/>
        </w:rPr>
        <w:t>ionarea Uniunii Europene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2668ED88" w14:textId="77777777" w:rsidR="00E87BCC" w:rsidRPr="00FB50F0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Carta drepturilor fundamentale a Uniunii Europene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226D2FAF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Conven</w:t>
      </w:r>
      <w:r>
        <w:rPr>
          <w:rFonts w:ascii="Trebuchet MS" w:eastAsia="Times New Roman" w:hAnsi="Trebuchet MS" w:cs="Times New Roman"/>
          <w:lang w:eastAsia="ro-RO"/>
        </w:rPr>
        <w:t>ț</w:t>
      </w:r>
      <w:r w:rsidRPr="0070438E">
        <w:rPr>
          <w:rFonts w:ascii="Trebuchet MS" w:eastAsia="Times New Roman" w:hAnsi="Trebuchet MS" w:cs="Times New Roman"/>
          <w:lang w:eastAsia="ro-RO"/>
        </w:rPr>
        <w:t>ia ONU privind drepturile persoanelor cu dizabilități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51CB05AB" w14:textId="77777777" w:rsidR="00E87BCC" w:rsidRPr="00D01081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D01081">
        <w:rPr>
          <w:rFonts w:ascii="Trebuchet MS" w:eastAsia="Times New Roman" w:hAnsi="Trebuchet MS" w:cs="Times New Roman"/>
          <w:lang w:eastAsia="ro-RO"/>
        </w:rPr>
        <w:t>Convenția Europeană a Drepturilor Omului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74A55AB1" w14:textId="77777777" w:rsidR="00E87BCC" w:rsidRPr="0070438E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>
        <w:rPr>
          <w:rFonts w:ascii="Trebuchet MS" w:eastAsia="Times New Roman" w:hAnsi="Trebuchet MS" w:cs="Times New Roman"/>
          <w:lang w:eastAsia="ro-RO"/>
        </w:rPr>
        <w:t>Decizia Consiliului din 26 noiembrie 2019 privind încheierea de către Comunitatea Europeană a Convenției națiunilor Unite privind drepturile persoanelor cu handicap (2010/48/CE);</w:t>
      </w:r>
    </w:p>
    <w:p w14:paraId="069535E2" w14:textId="77777777" w:rsidR="00E87BCC" w:rsidRPr="0070438E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Directiva 2000/43/CE de punere în aplicare a principiului egalității de tratament între persoane, fără deosebire de rasă sau origine etnică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2540E310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Directiva 2010/41/UE privind aplicarea principiului egalității de tratament între bărbați și femei care desfășoară o activitate independentă și de abrogare a Directivei 86/613/CEE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4553ACFC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Directiva 2004/113/CE de aplicare a principiului egalității de tratament între femei și bărbați privind accesul la bunuri și servicii și furnizarea de bunuri și servicii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36202706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>Directiva 2004/113/CE de aplicare a principiului egalității de tratament între femei și bărbați privind accesul la bunuri și servicii și furnizarea de bunuri și servicii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4DB2DAB4" w14:textId="77777777" w:rsidR="00E87BCC" w:rsidRPr="00D01081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D01081">
        <w:rPr>
          <w:rFonts w:ascii="Trebuchet MS" w:eastAsia="Times New Roman" w:hAnsi="Trebuchet MS" w:cs="Times New Roman"/>
          <w:lang w:eastAsia="ro-RO"/>
        </w:rPr>
        <w:t>Strategia europeană pentru persoanele cu dizabilități 2010-2020: un angajament reînnoit pentru o Europă fără bariere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617D176F" w14:textId="77777777" w:rsidR="00E87BCC" w:rsidRDefault="00E87BCC" w:rsidP="00827428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lastRenderedPageBreak/>
        <w:t>Strategia europeană privind ocuparea forţei de muncă</w:t>
      </w:r>
      <w:r>
        <w:rPr>
          <w:rFonts w:ascii="Trebuchet MS" w:eastAsia="Times New Roman" w:hAnsi="Trebuchet MS" w:cs="Times New Roman"/>
          <w:lang w:eastAsia="ro-RO"/>
        </w:rPr>
        <w:t>;</w:t>
      </w:r>
    </w:p>
    <w:p w14:paraId="733D3956" w14:textId="6E784C18" w:rsidR="00E87BCC" w:rsidRPr="008318EC" w:rsidRDefault="00E87BCC" w:rsidP="008318EC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eastAsia="Times New Roman" w:hAnsi="Trebuchet MS" w:cs="Times New Roman"/>
          <w:lang w:eastAsia="ro-RO"/>
        </w:rPr>
      </w:pPr>
      <w:r w:rsidRPr="0070438E">
        <w:rPr>
          <w:rFonts w:ascii="Trebuchet MS" w:eastAsia="Times New Roman" w:hAnsi="Trebuchet MS" w:cs="Times New Roman"/>
          <w:lang w:eastAsia="ro-RO"/>
        </w:rPr>
        <w:t xml:space="preserve">Directiva-cadru </w:t>
      </w:r>
      <w:r w:rsidR="008318EC">
        <w:rPr>
          <w:rFonts w:ascii="Trebuchet MS" w:eastAsia="Times New Roman" w:hAnsi="Trebuchet MS" w:cs="Times New Roman"/>
          <w:lang w:eastAsia="ro-RO"/>
        </w:rPr>
        <w:t xml:space="preserve">89/331/CEE </w:t>
      </w:r>
      <w:r w:rsidRPr="0070438E">
        <w:rPr>
          <w:rFonts w:ascii="Trebuchet MS" w:eastAsia="Times New Roman" w:hAnsi="Trebuchet MS" w:cs="Times New Roman"/>
          <w:lang w:eastAsia="ro-RO"/>
        </w:rPr>
        <w:t>privind securitatea și sănătatea în muncă</w:t>
      </w:r>
      <w:r w:rsidR="008318EC">
        <w:rPr>
          <w:rFonts w:ascii="Trebuchet MS" w:eastAsia="Times New Roman" w:hAnsi="Trebuchet MS" w:cs="Times New Roman"/>
          <w:lang w:eastAsia="ro-RO"/>
        </w:rPr>
        <w:t>.</w:t>
      </w:r>
      <w:bookmarkStart w:id="0" w:name="_GoBack"/>
      <w:bookmarkEnd w:id="0"/>
    </w:p>
    <w:sectPr w:rsidR="00E87BCC" w:rsidRPr="008318E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AC1C7" w14:textId="77777777" w:rsidR="00B74AE4" w:rsidRDefault="00B74AE4" w:rsidP="00885D24">
      <w:pPr>
        <w:spacing w:after="0" w:line="240" w:lineRule="auto"/>
      </w:pPr>
      <w:r>
        <w:separator/>
      </w:r>
    </w:p>
  </w:endnote>
  <w:endnote w:type="continuationSeparator" w:id="0">
    <w:p w14:paraId="33F2EEF8" w14:textId="77777777" w:rsidR="00B74AE4" w:rsidRDefault="00B74AE4" w:rsidP="0088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36057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C3AD84" w14:textId="4661F0C9" w:rsidR="00885D24" w:rsidRDefault="00885D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8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4C9C91" w14:textId="77777777" w:rsidR="00885D24" w:rsidRDefault="00885D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0847E" w14:textId="77777777" w:rsidR="00B74AE4" w:rsidRDefault="00B74AE4" w:rsidP="00885D24">
      <w:pPr>
        <w:spacing w:after="0" w:line="240" w:lineRule="auto"/>
      </w:pPr>
      <w:r>
        <w:separator/>
      </w:r>
    </w:p>
  </w:footnote>
  <w:footnote w:type="continuationSeparator" w:id="0">
    <w:p w14:paraId="7E77301A" w14:textId="77777777" w:rsidR="00B74AE4" w:rsidRDefault="00B74AE4" w:rsidP="00885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2217"/>
    <w:multiLevelType w:val="hybridMultilevel"/>
    <w:tmpl w:val="2E6EBACA"/>
    <w:lvl w:ilvl="0" w:tplc="68B0AA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50AC3"/>
    <w:multiLevelType w:val="hybridMultilevel"/>
    <w:tmpl w:val="04104FD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AA697A"/>
    <w:multiLevelType w:val="hybridMultilevel"/>
    <w:tmpl w:val="7326D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24935"/>
    <w:multiLevelType w:val="hybridMultilevel"/>
    <w:tmpl w:val="6EAC1C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877E2"/>
    <w:multiLevelType w:val="hybridMultilevel"/>
    <w:tmpl w:val="BDBC5CE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AB2A89"/>
    <w:multiLevelType w:val="hybridMultilevel"/>
    <w:tmpl w:val="44ACE7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52364C"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F5"/>
    <w:rsid w:val="00106989"/>
    <w:rsid w:val="004335DB"/>
    <w:rsid w:val="004C779A"/>
    <w:rsid w:val="00545BE7"/>
    <w:rsid w:val="0059026C"/>
    <w:rsid w:val="005A0FC0"/>
    <w:rsid w:val="006868E2"/>
    <w:rsid w:val="007B57FC"/>
    <w:rsid w:val="007D0096"/>
    <w:rsid w:val="00827428"/>
    <w:rsid w:val="008318EC"/>
    <w:rsid w:val="00885D24"/>
    <w:rsid w:val="00974A2D"/>
    <w:rsid w:val="00A1353D"/>
    <w:rsid w:val="00B145E3"/>
    <w:rsid w:val="00B74AE4"/>
    <w:rsid w:val="00E87BCC"/>
    <w:rsid w:val="00F57F52"/>
    <w:rsid w:val="00FA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F5DD3"/>
  <w15:chartTrackingRefBased/>
  <w15:docId w15:val="{446E47DD-6258-4CA6-81F2-6C4EDAD3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7F5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link w:val="Heading2Char"/>
    <w:uiPriority w:val="9"/>
    <w:qFormat/>
    <w:rsid w:val="00106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FA27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FA27F5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FA2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7F5"/>
    <w:rPr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7F5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85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D2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85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D24"/>
    <w:rPr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069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106989"/>
    <w:rPr>
      <w:color w:val="0000FF"/>
      <w:u w:val="single"/>
    </w:rPr>
  </w:style>
  <w:style w:type="paragraph" w:customStyle="1" w:styleId="hidden-xs">
    <w:name w:val="hidden-xs"/>
    <w:basedOn w:val="Normal"/>
    <w:rsid w:val="0010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Cristina Oncica</dc:creator>
  <cp:keywords/>
  <dc:description/>
  <cp:lastModifiedBy>Marcela Cristina Oncica</cp:lastModifiedBy>
  <cp:revision>14</cp:revision>
  <dcterms:created xsi:type="dcterms:W3CDTF">2020-03-04T14:50:00Z</dcterms:created>
  <dcterms:modified xsi:type="dcterms:W3CDTF">2021-02-17T12:30:00Z</dcterms:modified>
</cp:coreProperties>
</file>